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10" w:rsidRDefault="005A4B10" w:rsidP="008A53F7">
      <w:pPr>
        <w:rPr>
          <w:b/>
          <w:sz w:val="28"/>
          <w:szCs w:val="28"/>
        </w:rPr>
      </w:pPr>
    </w:p>
    <w:p w:rsidR="00473349" w:rsidRDefault="00E50085" w:rsidP="00473349">
      <w:pPr>
        <w:spacing w:after="0"/>
        <w:rPr>
          <w:b/>
          <w:sz w:val="32"/>
          <w:szCs w:val="28"/>
        </w:rPr>
      </w:pPr>
      <w:r w:rsidRPr="005A4B10">
        <w:rPr>
          <w:b/>
          <w:sz w:val="32"/>
          <w:szCs w:val="28"/>
        </w:rPr>
        <w:t xml:space="preserve">Satellite Applications </w:t>
      </w:r>
      <w:r w:rsidR="008A53F7" w:rsidRPr="005A4B10">
        <w:rPr>
          <w:b/>
          <w:sz w:val="32"/>
          <w:szCs w:val="28"/>
        </w:rPr>
        <w:t xml:space="preserve">Catapult </w:t>
      </w:r>
      <w:r w:rsidRPr="005A4B10">
        <w:rPr>
          <w:b/>
          <w:sz w:val="32"/>
          <w:szCs w:val="28"/>
        </w:rPr>
        <w:t>Workshop</w:t>
      </w:r>
      <w:r w:rsidR="008A53F7" w:rsidRPr="005A4B10">
        <w:rPr>
          <w:b/>
          <w:sz w:val="32"/>
          <w:szCs w:val="28"/>
        </w:rPr>
        <w:t xml:space="preserve"> </w:t>
      </w:r>
    </w:p>
    <w:p w:rsidR="00E50085" w:rsidRPr="00473349" w:rsidRDefault="008A53F7" w:rsidP="00473349">
      <w:pPr>
        <w:spacing w:after="0"/>
        <w:rPr>
          <w:b/>
          <w:sz w:val="28"/>
          <w:szCs w:val="28"/>
        </w:rPr>
      </w:pPr>
      <w:r w:rsidRPr="00473349">
        <w:rPr>
          <w:b/>
          <w:sz w:val="28"/>
          <w:szCs w:val="28"/>
        </w:rPr>
        <w:t xml:space="preserve">– </w:t>
      </w:r>
      <w:r w:rsidR="00473349" w:rsidRPr="00473349">
        <w:rPr>
          <w:b/>
          <w:sz w:val="28"/>
          <w:szCs w:val="28"/>
        </w:rPr>
        <w:t>W</w:t>
      </w:r>
      <w:r w:rsidRPr="00473349">
        <w:rPr>
          <w:b/>
          <w:sz w:val="28"/>
          <w:szCs w:val="28"/>
        </w:rPr>
        <w:t xml:space="preserve">ith a </w:t>
      </w:r>
      <w:r w:rsidR="00473349" w:rsidRPr="00473349">
        <w:rPr>
          <w:b/>
          <w:sz w:val="28"/>
          <w:szCs w:val="28"/>
        </w:rPr>
        <w:t>F</w:t>
      </w:r>
      <w:r w:rsidRPr="00473349">
        <w:rPr>
          <w:b/>
          <w:sz w:val="28"/>
          <w:szCs w:val="28"/>
        </w:rPr>
        <w:t xml:space="preserve">ocus on </w:t>
      </w:r>
      <w:r w:rsidR="00AE59ED">
        <w:rPr>
          <w:b/>
          <w:sz w:val="28"/>
          <w:szCs w:val="28"/>
        </w:rPr>
        <w:t>Natural Resource Management &amp; Energy</w:t>
      </w:r>
    </w:p>
    <w:p w:rsidR="0050350E" w:rsidRDefault="0050350E" w:rsidP="00E50085">
      <w:pPr>
        <w:ind w:left="360" w:hanging="360"/>
        <w:rPr>
          <w:b/>
          <w:sz w:val="24"/>
          <w:szCs w:val="28"/>
        </w:rPr>
      </w:pPr>
      <w:bookmarkStart w:id="0" w:name="_GoBack"/>
      <w:bookmarkEnd w:id="0"/>
    </w:p>
    <w:p w:rsidR="00E50085" w:rsidRPr="008A53F7" w:rsidRDefault="00E50085" w:rsidP="00E50085">
      <w:pPr>
        <w:ind w:left="360" w:hanging="360"/>
        <w:rPr>
          <w:b/>
          <w:sz w:val="24"/>
          <w:szCs w:val="28"/>
        </w:rPr>
      </w:pPr>
      <w:r w:rsidRPr="008A53F7">
        <w:rPr>
          <w:b/>
          <w:sz w:val="24"/>
          <w:szCs w:val="28"/>
        </w:rPr>
        <w:t xml:space="preserve">Date:    </w:t>
      </w:r>
      <w:r w:rsidR="008A53F7" w:rsidRPr="008A53F7">
        <w:rPr>
          <w:b/>
          <w:sz w:val="24"/>
          <w:szCs w:val="28"/>
        </w:rPr>
        <w:t>26</w:t>
      </w:r>
      <w:r w:rsidRPr="008A53F7">
        <w:rPr>
          <w:b/>
          <w:sz w:val="24"/>
          <w:szCs w:val="28"/>
        </w:rPr>
        <w:t xml:space="preserve"> June 2012</w:t>
      </w:r>
    </w:p>
    <w:p w:rsidR="00E50085" w:rsidRPr="008A53F7" w:rsidRDefault="00E50085" w:rsidP="00E50085">
      <w:pPr>
        <w:ind w:left="360" w:hanging="360"/>
        <w:rPr>
          <w:b/>
          <w:sz w:val="24"/>
          <w:szCs w:val="28"/>
        </w:rPr>
      </w:pPr>
      <w:r w:rsidRPr="008A53F7">
        <w:rPr>
          <w:b/>
          <w:sz w:val="24"/>
          <w:szCs w:val="28"/>
        </w:rPr>
        <w:t xml:space="preserve">Venue: </w:t>
      </w:r>
      <w:r w:rsidR="008A53F7" w:rsidRPr="008A53F7">
        <w:rPr>
          <w:b/>
          <w:sz w:val="24"/>
          <w:szCs w:val="28"/>
        </w:rPr>
        <w:t>University</w:t>
      </w:r>
      <w:r w:rsidRPr="008A53F7">
        <w:rPr>
          <w:b/>
          <w:sz w:val="24"/>
          <w:szCs w:val="28"/>
        </w:rPr>
        <w:t xml:space="preserve"> </w:t>
      </w:r>
      <w:r w:rsidR="00957EC6">
        <w:rPr>
          <w:b/>
          <w:sz w:val="24"/>
          <w:szCs w:val="28"/>
        </w:rPr>
        <w:t xml:space="preserve">of Strathclyde, Glasgow </w:t>
      </w:r>
      <w:r w:rsidRPr="008A53F7">
        <w:rPr>
          <w:b/>
          <w:sz w:val="24"/>
          <w:szCs w:val="28"/>
        </w:rPr>
        <w:t>(10</w:t>
      </w:r>
      <w:r w:rsidR="008A53F7" w:rsidRPr="008A53F7">
        <w:rPr>
          <w:b/>
          <w:sz w:val="24"/>
          <w:szCs w:val="28"/>
        </w:rPr>
        <w:t>.00 to 15.</w:t>
      </w:r>
      <w:r w:rsidR="00ED3CF2">
        <w:rPr>
          <w:b/>
          <w:sz w:val="24"/>
          <w:szCs w:val="28"/>
        </w:rPr>
        <w:t>3</w:t>
      </w:r>
      <w:r w:rsidR="008A53F7" w:rsidRPr="008A53F7">
        <w:rPr>
          <w:b/>
          <w:sz w:val="24"/>
          <w:szCs w:val="28"/>
        </w:rPr>
        <w:t>0)</w:t>
      </w:r>
    </w:p>
    <w:p w:rsidR="00E50085" w:rsidRPr="00532617" w:rsidRDefault="006C74DF" w:rsidP="005A4B10">
      <w:r>
        <w:t xml:space="preserve">The Satellite Applications Catapult is holding a workshop </w:t>
      </w:r>
      <w:r w:rsidR="00957EC6">
        <w:t>in</w:t>
      </w:r>
      <w:r>
        <w:t xml:space="preserve"> </w:t>
      </w:r>
      <w:r w:rsidR="008A53F7">
        <w:t xml:space="preserve">Glasgow </w:t>
      </w:r>
      <w:r>
        <w:t xml:space="preserve">on </w:t>
      </w:r>
      <w:r w:rsidR="008A53F7">
        <w:t>Tuesday 26</w:t>
      </w:r>
      <w:r>
        <w:t xml:space="preserve"> June</w:t>
      </w:r>
      <w:r w:rsidR="00E53CA6">
        <w:t>,</w:t>
      </w:r>
      <w:r>
        <w:t xml:space="preserve"> to give organisations </w:t>
      </w:r>
      <w:r w:rsidR="008A53F7">
        <w:t>based in</w:t>
      </w:r>
      <w:r w:rsidR="00C73668">
        <w:t xml:space="preserve"> </w:t>
      </w:r>
      <w:r w:rsidR="008A53F7">
        <w:t>Scotland</w:t>
      </w:r>
      <w:r w:rsidR="00E53CA6">
        <w:t xml:space="preserve">, </w:t>
      </w:r>
      <w:r>
        <w:t xml:space="preserve">an update on this </w:t>
      </w:r>
      <w:r w:rsidR="00E50085" w:rsidRPr="00532617">
        <w:t xml:space="preserve">new venture </w:t>
      </w:r>
      <w:r w:rsidR="00E53CA6">
        <w:t>designed to</w:t>
      </w:r>
      <w:r w:rsidR="00E50085" w:rsidRPr="00532617">
        <w:t xml:space="preserve"> support UK industry</w:t>
      </w:r>
      <w:r w:rsidR="00E50085">
        <w:t>,</w:t>
      </w:r>
      <w:r w:rsidR="00E50085" w:rsidRPr="00532617">
        <w:t xml:space="preserve"> particularly SMEs</w:t>
      </w:r>
      <w:r w:rsidR="00E50085">
        <w:t xml:space="preserve">, </w:t>
      </w:r>
      <w:r w:rsidR="00E50085" w:rsidRPr="00532617">
        <w:t>in the development of satellite applications and key supporting technologies.</w:t>
      </w:r>
    </w:p>
    <w:p w:rsidR="00E50085" w:rsidRDefault="00E50085" w:rsidP="005A4B10">
      <w:r>
        <w:t xml:space="preserve">The workshop </w:t>
      </w:r>
      <w:r w:rsidR="00E53CA6">
        <w:t>will</w:t>
      </w:r>
      <w:r>
        <w:t xml:space="preserve"> demonstrate how your business could benefit from engaging with the Satellite Applications Catapult and give you the opportunity to h</w:t>
      </w:r>
      <w:r w:rsidR="00E53CA6">
        <w:t>elp us shape the organisation</w:t>
      </w:r>
      <w:r>
        <w:t>. We would like you to share your views on programmes, facilities and services that would benefit your business.</w:t>
      </w:r>
      <w:r w:rsidR="006C74DF">
        <w:t xml:space="preserve"> </w:t>
      </w:r>
      <w:r>
        <w:t>Do you work in Applied Research? How can your input help us differentiate Satellite Applications Catapult activities and ensure they are competitive in the global market?</w:t>
      </w:r>
    </w:p>
    <w:p w:rsidR="00E53CA6" w:rsidRDefault="00E53CA6" w:rsidP="005A4B10">
      <w:r w:rsidRPr="009C3348">
        <w:rPr>
          <w:rFonts w:asciiTheme="minorHAnsi" w:hAnsiTheme="minorHAnsi"/>
        </w:rPr>
        <w:t xml:space="preserve">The workshop will also discuss how </w:t>
      </w:r>
      <w:r w:rsidR="00752991" w:rsidRPr="009C3348">
        <w:rPr>
          <w:rFonts w:asciiTheme="minorHAnsi" w:hAnsiTheme="minorHAnsi"/>
        </w:rPr>
        <w:t>s</w:t>
      </w:r>
      <w:r w:rsidR="00E50085" w:rsidRPr="009C3348">
        <w:rPr>
          <w:rFonts w:asciiTheme="minorHAnsi" w:hAnsiTheme="minorHAnsi"/>
        </w:rPr>
        <w:t xml:space="preserve">atellite </w:t>
      </w:r>
      <w:r w:rsidR="00752991" w:rsidRPr="009C3348">
        <w:rPr>
          <w:rFonts w:asciiTheme="minorHAnsi" w:hAnsiTheme="minorHAnsi"/>
        </w:rPr>
        <w:t>a</w:t>
      </w:r>
      <w:r w:rsidR="00E50085" w:rsidRPr="009C3348">
        <w:rPr>
          <w:rFonts w:asciiTheme="minorHAnsi" w:hAnsiTheme="minorHAnsi"/>
        </w:rPr>
        <w:t>pplications</w:t>
      </w:r>
      <w:r w:rsidR="00752991" w:rsidRPr="009C3348">
        <w:rPr>
          <w:rFonts w:asciiTheme="minorHAnsi" w:hAnsiTheme="minorHAnsi"/>
        </w:rPr>
        <w:t xml:space="preserve"> can</w:t>
      </w:r>
      <w:r w:rsidR="00E50085" w:rsidRPr="009C3348">
        <w:rPr>
          <w:rFonts w:asciiTheme="minorHAnsi" w:hAnsiTheme="minorHAnsi"/>
        </w:rPr>
        <w:t xml:space="preserve"> </w:t>
      </w:r>
      <w:r w:rsidR="008A53F7">
        <w:rPr>
          <w:rFonts w:asciiTheme="minorHAnsi" w:hAnsiTheme="minorHAnsi" w:cs="Arial"/>
        </w:rPr>
        <w:t>benefit natural resource management</w:t>
      </w:r>
      <w:r w:rsidR="00727C5C">
        <w:rPr>
          <w:rFonts w:asciiTheme="minorHAnsi" w:hAnsiTheme="minorHAnsi" w:cs="Arial"/>
        </w:rPr>
        <w:t xml:space="preserve"> </w:t>
      </w:r>
      <w:r w:rsidR="00957EC6">
        <w:rPr>
          <w:rFonts w:asciiTheme="minorHAnsi" w:hAnsiTheme="minorHAnsi" w:cs="Arial"/>
        </w:rPr>
        <w:t xml:space="preserve">(particularly energy) </w:t>
      </w:r>
      <w:r w:rsidR="00727C5C">
        <w:rPr>
          <w:rFonts w:asciiTheme="minorHAnsi" w:hAnsiTheme="minorHAnsi" w:cs="Arial"/>
        </w:rPr>
        <w:t>-</w:t>
      </w:r>
      <w:r w:rsidR="00752991">
        <w:t xml:space="preserve"> </w:t>
      </w:r>
      <w:r w:rsidR="00727C5C">
        <w:t>y</w:t>
      </w:r>
      <w:r w:rsidR="006C74DF">
        <w:t>ou can also f</w:t>
      </w:r>
      <w:r w:rsidR="00E50085">
        <w:t xml:space="preserve">ind out more about the </w:t>
      </w:r>
      <w:r w:rsidR="008A53F7">
        <w:t>Offshore Renewable Energy</w:t>
      </w:r>
      <w:r w:rsidR="00E50085">
        <w:t xml:space="preserve"> Catapult </w:t>
      </w:r>
      <w:r w:rsidR="008A53F7">
        <w:t xml:space="preserve">and </w:t>
      </w:r>
      <w:r w:rsidR="00E50085">
        <w:t xml:space="preserve">what are the key cross linkages with the Satellite Applications Catapult </w:t>
      </w:r>
      <w:r w:rsidR="00727C5C">
        <w:t xml:space="preserve">to </w:t>
      </w:r>
      <w:r w:rsidR="00E50085">
        <w:t xml:space="preserve">consider?  </w:t>
      </w:r>
    </w:p>
    <w:p w:rsidR="00E50085" w:rsidRDefault="00E53CA6" w:rsidP="005A4B10">
      <w:r>
        <w:t>Come and share with us how you think satellite applications might help you develop and grow your activities.</w:t>
      </w:r>
    </w:p>
    <w:p w:rsidR="005A4B10" w:rsidRDefault="00E50085" w:rsidP="005A4B10">
      <w:r>
        <w:t xml:space="preserve">To register for this event or </w:t>
      </w:r>
      <w:r w:rsidR="006C74DF">
        <w:t xml:space="preserve">if you would simply like to </w:t>
      </w:r>
      <w:r>
        <w:t xml:space="preserve">find out more about the Satellite Applications Catapult - please visit the Space Special Interest Group </w:t>
      </w:r>
      <w:r w:rsidR="006C74DF">
        <w:t xml:space="preserve">Connect Website </w:t>
      </w:r>
      <w:r w:rsidR="00E53CA6">
        <w:t>@</w:t>
      </w:r>
      <w:r w:rsidR="005A4B10">
        <w:t xml:space="preserve"> </w:t>
      </w:r>
      <w:hyperlink r:id="rId7" w:history="1">
        <w:r w:rsidR="005A4B10" w:rsidRPr="0056732D">
          <w:rPr>
            <w:rStyle w:val="Hyperlink"/>
          </w:rPr>
          <w:t>https://connect.innovateuk.org/web/space/satellite-applications-catapult</w:t>
        </w:r>
      </w:hyperlink>
    </w:p>
    <w:p w:rsidR="0050350E" w:rsidRPr="00496B65" w:rsidRDefault="0050350E" w:rsidP="0050350E">
      <w:pPr>
        <w:spacing w:after="0" w:line="240" w:lineRule="auto"/>
        <w:rPr>
          <w:rFonts w:ascii="Arial" w:hAnsi="Arial" w:cs="Arial"/>
          <w:color w:val="1F497D" w:themeColor="text2"/>
        </w:rPr>
      </w:pPr>
    </w:p>
    <w:p w:rsidR="0050350E" w:rsidRPr="00F26060" w:rsidRDefault="0050350E" w:rsidP="0050350E">
      <w:pPr>
        <w:spacing w:after="0" w:line="240" w:lineRule="auto"/>
        <w:rPr>
          <w:rFonts w:ascii="Arial" w:eastAsiaTheme="majorEastAsia" w:hAnsi="Arial" w:cs="Arial"/>
          <w:b/>
          <w:bCs/>
          <w:color w:val="5F497A" w:themeColor="accent4" w:themeShade="BF"/>
          <w:sz w:val="28"/>
        </w:rPr>
      </w:pPr>
      <w:r w:rsidRPr="00F26060">
        <w:rPr>
          <w:rFonts w:ascii="Arial" w:eastAsiaTheme="majorEastAsia" w:hAnsi="Arial" w:cs="Arial"/>
          <w:b/>
          <w:bCs/>
          <w:color w:val="5F497A" w:themeColor="accent4" w:themeShade="BF"/>
          <w:sz w:val="28"/>
        </w:rPr>
        <w:t>AGENDA</w:t>
      </w:r>
    </w:p>
    <w:p w:rsidR="0050350E" w:rsidRPr="00496B65" w:rsidRDefault="0050350E" w:rsidP="0050350E">
      <w:pPr>
        <w:tabs>
          <w:tab w:val="left" w:pos="2266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>09.3</w:t>
      </w:r>
      <w:r w:rsidRPr="00496B65">
        <w:rPr>
          <w:rFonts w:ascii="Arial" w:hAnsi="Arial" w:cs="Arial"/>
        </w:rPr>
        <w:t>0</w:t>
      </w:r>
      <w:r w:rsidRPr="00496B65">
        <w:rPr>
          <w:rFonts w:ascii="Arial" w:hAnsi="Arial" w:cs="Arial"/>
        </w:rPr>
        <w:tab/>
        <w:t>Coffee &amp; Registration</w:t>
      </w:r>
    </w:p>
    <w:p w:rsidR="0050350E" w:rsidRDefault="0050350E" w:rsidP="0050350E">
      <w:pPr>
        <w:tabs>
          <w:tab w:val="left" w:pos="2266"/>
        </w:tabs>
        <w:spacing w:after="0" w:line="240" w:lineRule="auto"/>
        <w:rPr>
          <w:rFonts w:ascii="Arial" w:hAnsi="Arial" w:cs="Arial"/>
        </w:rPr>
      </w:pPr>
      <w:r w:rsidRPr="00496B65">
        <w:rPr>
          <w:rFonts w:ascii="Arial" w:hAnsi="Arial" w:cs="Arial"/>
        </w:rPr>
        <w:t>10.</w:t>
      </w:r>
      <w:r>
        <w:rPr>
          <w:rFonts w:ascii="Arial" w:hAnsi="Arial" w:cs="Arial"/>
        </w:rPr>
        <w:t>0</w:t>
      </w:r>
      <w:r w:rsidRPr="00496B65">
        <w:rPr>
          <w:rFonts w:ascii="Arial" w:hAnsi="Arial" w:cs="Arial"/>
        </w:rPr>
        <w:t>0</w:t>
      </w:r>
      <w:r w:rsidRPr="00496B65">
        <w:rPr>
          <w:rFonts w:ascii="Arial" w:hAnsi="Arial" w:cs="Arial"/>
        </w:rPr>
        <w:tab/>
        <w:t>Welcome</w:t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Pr="00496B65" w:rsidRDefault="0050350E" w:rsidP="0050350E">
      <w:pPr>
        <w:tabs>
          <w:tab w:val="left" w:pos="2266"/>
        </w:tabs>
        <w:spacing w:after="0" w:line="240" w:lineRule="auto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 w:line="240" w:lineRule="auto"/>
        <w:rPr>
          <w:rFonts w:ascii="Arial" w:hAnsi="Arial" w:cs="Arial"/>
        </w:rPr>
      </w:pPr>
      <w:r w:rsidRPr="00496B65">
        <w:rPr>
          <w:rFonts w:ascii="Arial" w:hAnsi="Arial" w:cs="Arial"/>
        </w:rPr>
        <w:t>10.</w:t>
      </w:r>
      <w:r>
        <w:rPr>
          <w:rFonts w:ascii="Arial" w:hAnsi="Arial" w:cs="Arial"/>
        </w:rPr>
        <w:t>10</w:t>
      </w:r>
      <w:r w:rsidRPr="00496B65">
        <w:rPr>
          <w:rFonts w:ascii="Arial" w:hAnsi="Arial" w:cs="Arial"/>
        </w:rPr>
        <w:tab/>
        <w:t>Satellite Applications Catapult</w:t>
      </w:r>
      <w:r>
        <w:rPr>
          <w:rFonts w:ascii="Arial" w:hAnsi="Arial" w:cs="Arial"/>
        </w:rPr>
        <w:t xml:space="preserve"> - TSB Perspective</w:t>
      </w:r>
      <w:r>
        <w:rPr>
          <w:rFonts w:ascii="Arial" w:hAnsi="Arial" w:cs="Arial"/>
        </w:rPr>
        <w:tab/>
      </w:r>
    </w:p>
    <w:p w:rsidR="0050350E" w:rsidRPr="00496B65" w:rsidRDefault="0050350E" w:rsidP="0050350E">
      <w:pPr>
        <w:tabs>
          <w:tab w:val="left" w:pos="2266"/>
        </w:tabs>
        <w:spacing w:after="0" w:line="240" w:lineRule="auto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 w:rsidRPr="00496B65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496B65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Pr="00496B65">
        <w:rPr>
          <w:rFonts w:ascii="Arial" w:hAnsi="Arial" w:cs="Arial"/>
        </w:rPr>
        <w:tab/>
      </w:r>
      <w:r>
        <w:rPr>
          <w:rFonts w:ascii="Arial" w:hAnsi="Arial" w:cs="Arial"/>
        </w:rPr>
        <w:t>Satellite Applications Catapult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10.30</w:t>
      </w:r>
      <w:r>
        <w:rPr>
          <w:rFonts w:ascii="Arial" w:hAnsi="Arial" w:cs="Arial"/>
        </w:rPr>
        <w:tab/>
        <w:t>Programmes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Pr="00496B65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With a focus on Natural Resources Management, (EO/Energy)  </w:t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 w:rsidRPr="00496B65">
        <w:rPr>
          <w:rFonts w:ascii="Arial" w:hAnsi="Arial" w:cs="Arial"/>
        </w:rPr>
        <w:t>1</w:t>
      </w:r>
      <w:r>
        <w:rPr>
          <w:rFonts w:ascii="Arial" w:hAnsi="Arial" w:cs="Arial"/>
        </w:rPr>
        <w:t>0.50</w:t>
      </w:r>
      <w:r w:rsidRPr="00496B65">
        <w:rPr>
          <w:rFonts w:ascii="Arial" w:hAnsi="Arial" w:cs="Arial"/>
        </w:rPr>
        <w:tab/>
        <w:t>Facilities &amp; Services</w:t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6B65">
        <w:rPr>
          <w:rFonts w:ascii="Arial" w:hAnsi="Arial" w:cs="Arial"/>
        </w:rPr>
        <w:t xml:space="preserve"> </w:t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Pr="00496B65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11.00</w:t>
      </w:r>
      <w:r>
        <w:rPr>
          <w:rFonts w:ascii="Arial" w:hAnsi="Arial" w:cs="Arial"/>
        </w:rPr>
        <w:tab/>
        <w:t xml:space="preserve">Applied Research </w:t>
      </w:r>
      <w:r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Pr="00496B65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11.10</w:t>
      </w:r>
      <w:r>
        <w:rPr>
          <w:rFonts w:ascii="Arial" w:hAnsi="Arial" w:cs="Arial"/>
        </w:rPr>
        <w:tab/>
        <w:t xml:space="preserve">Opportunities </w:t>
      </w:r>
      <w:r w:rsidRPr="00496B65">
        <w:rPr>
          <w:rFonts w:ascii="Arial" w:hAnsi="Arial" w:cs="Arial"/>
        </w:rPr>
        <w:t>for SMEs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11.25</w:t>
      </w:r>
      <w:r>
        <w:rPr>
          <w:rFonts w:ascii="Arial" w:hAnsi="Arial" w:cs="Arial"/>
        </w:rPr>
        <w:tab/>
        <w:t>An Introduction to the Offshore Renewable Energy Catapult</w:t>
      </w:r>
      <w:r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11.40</w:t>
      </w:r>
      <w:r>
        <w:rPr>
          <w:rFonts w:ascii="Arial" w:hAnsi="Arial" w:cs="Arial"/>
        </w:rPr>
        <w:tab/>
        <w:t>Satellite Applications &amp; Natural Resource Management</w:t>
      </w:r>
      <w:r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 w:rsidRPr="00496B65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496B65">
        <w:rPr>
          <w:rFonts w:ascii="Arial" w:hAnsi="Arial" w:cs="Arial"/>
        </w:rPr>
        <w:t>.</w:t>
      </w:r>
      <w:r>
        <w:rPr>
          <w:rFonts w:ascii="Arial" w:hAnsi="Arial" w:cs="Arial"/>
        </w:rPr>
        <w:t>55</w:t>
      </w:r>
      <w:r w:rsidRPr="00496B65">
        <w:rPr>
          <w:rFonts w:ascii="Arial" w:hAnsi="Arial" w:cs="Arial"/>
        </w:rPr>
        <w:tab/>
      </w:r>
      <w:r>
        <w:rPr>
          <w:rFonts w:ascii="Arial" w:hAnsi="Arial" w:cs="Arial"/>
        </w:rPr>
        <w:t>Morning Briefings Q&amp;A</w:t>
      </w:r>
      <w:r>
        <w:rPr>
          <w:rFonts w:ascii="Arial" w:hAnsi="Arial" w:cs="Arial"/>
        </w:rPr>
        <w:tab/>
        <w:t xml:space="preserve"> Session</w:t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12.40</w:t>
      </w:r>
      <w:r>
        <w:rPr>
          <w:rFonts w:ascii="Arial" w:hAnsi="Arial" w:cs="Arial"/>
        </w:rPr>
        <w:tab/>
        <w:t>Setting the Scene for the Afternoon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Pr="00F40AD2" w:rsidRDefault="0050350E" w:rsidP="0050350E">
      <w:pPr>
        <w:tabs>
          <w:tab w:val="left" w:pos="2266"/>
        </w:tabs>
        <w:spacing w:after="0"/>
        <w:rPr>
          <w:rFonts w:ascii="Arial" w:eastAsiaTheme="majorEastAsia" w:hAnsi="Arial" w:cs="Arial"/>
          <w:b/>
          <w:bCs/>
          <w:color w:val="5F497A" w:themeColor="accent4" w:themeShade="BF"/>
        </w:rPr>
      </w:pPr>
      <w:r>
        <w:rPr>
          <w:rFonts w:ascii="Arial" w:hAnsi="Arial" w:cs="Arial"/>
        </w:rPr>
        <w:t>12.45</w:t>
      </w:r>
      <w:r>
        <w:rPr>
          <w:rFonts w:ascii="Arial" w:hAnsi="Arial" w:cs="Arial"/>
        </w:rPr>
        <w:tab/>
      </w:r>
      <w:r>
        <w:rPr>
          <w:rFonts w:ascii="Arial" w:eastAsiaTheme="majorEastAsia" w:hAnsi="Arial" w:cs="Arial"/>
          <w:b/>
          <w:bCs/>
          <w:color w:val="5F497A" w:themeColor="accent4" w:themeShade="BF"/>
        </w:rPr>
        <w:t>LUNCH</w:t>
      </w:r>
    </w:p>
    <w:p w:rsidR="0050350E" w:rsidRPr="00496B65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 w:line="240" w:lineRule="auto"/>
        <w:rPr>
          <w:rFonts w:ascii="Arial" w:hAnsi="Arial" w:cs="Arial"/>
        </w:rPr>
      </w:pPr>
      <w:r w:rsidRPr="00496B65">
        <w:rPr>
          <w:rFonts w:ascii="Arial" w:hAnsi="Arial" w:cs="Arial"/>
        </w:rPr>
        <w:t>13.</w:t>
      </w:r>
      <w:r>
        <w:rPr>
          <w:rFonts w:ascii="Arial" w:hAnsi="Arial" w:cs="Arial"/>
        </w:rPr>
        <w:t>45</w:t>
      </w:r>
      <w:r w:rsidRPr="00496B65">
        <w:rPr>
          <w:rFonts w:ascii="Arial" w:hAnsi="Arial" w:cs="Arial"/>
        </w:rPr>
        <w:tab/>
      </w:r>
      <w:r>
        <w:rPr>
          <w:rFonts w:ascii="Arial" w:hAnsi="Arial" w:cs="Arial"/>
        </w:rPr>
        <w:t>Break-out Workshops/Discussion Groups</w:t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</w:p>
    <w:p w:rsidR="0050350E" w:rsidRDefault="0050350E" w:rsidP="0050350E">
      <w:pPr>
        <w:tabs>
          <w:tab w:val="left" w:pos="22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0350E" w:rsidRPr="00496B65" w:rsidRDefault="0050350E" w:rsidP="0050350E">
      <w:pPr>
        <w:tabs>
          <w:tab w:val="left" w:pos="226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Questions to be addressed</w:t>
      </w:r>
    </w:p>
    <w:p w:rsidR="0050350E" w:rsidRDefault="0050350E" w:rsidP="0050350E">
      <w:pPr>
        <w:pStyle w:val="ListParagraph"/>
        <w:numPr>
          <w:ilvl w:val="0"/>
          <w:numId w:val="1"/>
        </w:numPr>
        <w:spacing w:after="0" w:line="240" w:lineRule="auto"/>
        <w:ind w:right="3176" w:hanging="252"/>
        <w:rPr>
          <w:rFonts w:ascii="Arial" w:hAnsi="Arial" w:cs="Arial"/>
        </w:rPr>
      </w:pPr>
      <w:r w:rsidRPr="00952E09">
        <w:rPr>
          <w:rFonts w:ascii="Arial" w:hAnsi="Arial" w:cs="Arial"/>
        </w:rPr>
        <w:t xml:space="preserve">What criteria should the Catapult use for the selection of </w:t>
      </w:r>
      <w:proofErr w:type="spellStart"/>
      <w:r w:rsidRPr="00952E09">
        <w:rPr>
          <w:rFonts w:ascii="Arial" w:hAnsi="Arial" w:cs="Arial"/>
        </w:rPr>
        <w:t>programmes</w:t>
      </w:r>
      <w:proofErr w:type="spellEnd"/>
      <w:r w:rsidRPr="00952E09">
        <w:rPr>
          <w:rFonts w:ascii="Arial" w:hAnsi="Arial" w:cs="Arial"/>
        </w:rPr>
        <w:t xml:space="preserve"> and new facilities?</w:t>
      </w:r>
    </w:p>
    <w:p w:rsidR="0050350E" w:rsidRPr="00952E09" w:rsidRDefault="0050350E" w:rsidP="0050350E">
      <w:pPr>
        <w:pStyle w:val="ListParagraph"/>
        <w:spacing w:before="100" w:beforeAutospacing="1" w:after="100" w:afterAutospacing="1" w:line="240" w:lineRule="auto"/>
        <w:ind w:left="2520" w:right="3176" w:hanging="252"/>
        <w:rPr>
          <w:rFonts w:ascii="Arial" w:hAnsi="Arial" w:cs="Arial"/>
        </w:rPr>
      </w:pPr>
    </w:p>
    <w:p w:rsidR="0050350E" w:rsidRDefault="0050350E" w:rsidP="0050350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3176" w:hanging="252"/>
        <w:rPr>
          <w:rFonts w:ascii="Arial" w:hAnsi="Arial" w:cs="Arial"/>
        </w:rPr>
      </w:pPr>
      <w:r w:rsidRPr="00952E09">
        <w:rPr>
          <w:rFonts w:ascii="Arial" w:hAnsi="Arial" w:cs="Arial"/>
        </w:rPr>
        <w:t>Apart from the facilities, how can the Catapult support the community to develop applications?</w:t>
      </w:r>
    </w:p>
    <w:p w:rsidR="0050350E" w:rsidRPr="00952E09" w:rsidRDefault="0050350E" w:rsidP="0050350E">
      <w:pPr>
        <w:pStyle w:val="ListParagraph"/>
        <w:ind w:hanging="252"/>
        <w:rPr>
          <w:rFonts w:ascii="Arial" w:hAnsi="Arial" w:cs="Arial"/>
        </w:rPr>
      </w:pPr>
    </w:p>
    <w:p w:rsidR="0050350E" w:rsidRPr="00952E09" w:rsidRDefault="0050350E" w:rsidP="0050350E">
      <w:pPr>
        <w:pStyle w:val="ListParagraph"/>
        <w:numPr>
          <w:ilvl w:val="0"/>
          <w:numId w:val="1"/>
        </w:numPr>
        <w:tabs>
          <w:tab w:val="left" w:pos="2266"/>
        </w:tabs>
        <w:spacing w:before="100" w:beforeAutospacing="1" w:after="0" w:afterAutospacing="1" w:line="240" w:lineRule="auto"/>
        <w:ind w:right="3176" w:hanging="252"/>
        <w:rPr>
          <w:rFonts w:ascii="Arial" w:hAnsi="Arial" w:cs="Arial"/>
        </w:rPr>
      </w:pPr>
      <w:r w:rsidRPr="00952E09">
        <w:rPr>
          <w:rFonts w:ascii="Arial" w:hAnsi="Arial" w:cs="Arial"/>
        </w:rPr>
        <w:t xml:space="preserve">How do we best engage with the Research community activities to focus Catapult’s applied technology </w:t>
      </w:r>
      <w:proofErr w:type="spellStart"/>
      <w:r w:rsidRPr="00952E09">
        <w:rPr>
          <w:rFonts w:ascii="Arial" w:hAnsi="Arial" w:cs="Arial"/>
        </w:rPr>
        <w:t>programmes</w:t>
      </w:r>
      <w:proofErr w:type="spellEnd"/>
      <w:r w:rsidRPr="00952E09">
        <w:rPr>
          <w:rFonts w:ascii="Arial" w:hAnsi="Arial" w:cs="Arial"/>
        </w:rPr>
        <w:t>?</w:t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14.45</w:t>
      </w:r>
      <w:r w:rsidRPr="00496B65">
        <w:rPr>
          <w:rFonts w:ascii="Arial" w:hAnsi="Arial" w:cs="Arial"/>
        </w:rPr>
        <w:tab/>
        <w:t>Collate and Summari</w:t>
      </w:r>
      <w:r>
        <w:rPr>
          <w:rFonts w:ascii="Arial" w:hAnsi="Arial" w:cs="Arial"/>
        </w:rPr>
        <w:t>s</w:t>
      </w:r>
      <w:r w:rsidRPr="00496B65">
        <w:rPr>
          <w:rFonts w:ascii="Arial" w:hAnsi="Arial" w:cs="Arial"/>
        </w:rPr>
        <w:t>e</w:t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  <w:r w:rsidRPr="00496B65">
        <w:rPr>
          <w:rFonts w:ascii="Arial" w:hAnsi="Arial" w:cs="Arial"/>
        </w:rPr>
        <w:tab/>
      </w:r>
    </w:p>
    <w:p w:rsidR="0050350E" w:rsidRPr="00496B65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 w:rsidRPr="00496B65">
        <w:rPr>
          <w:rFonts w:ascii="Arial" w:hAnsi="Arial" w:cs="Arial"/>
        </w:rPr>
        <w:t>15</w:t>
      </w:r>
      <w:r>
        <w:rPr>
          <w:rFonts w:ascii="Arial" w:hAnsi="Arial" w:cs="Arial"/>
        </w:rPr>
        <w:t>.15</w:t>
      </w:r>
      <w:r w:rsidRPr="00496B65">
        <w:rPr>
          <w:rFonts w:ascii="Arial" w:hAnsi="Arial" w:cs="Arial"/>
        </w:rPr>
        <w:tab/>
        <w:t xml:space="preserve">Close </w:t>
      </w:r>
    </w:p>
    <w:p w:rsidR="0050350E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</w:p>
    <w:p w:rsidR="0050350E" w:rsidRPr="00496B65" w:rsidRDefault="0050350E" w:rsidP="0050350E">
      <w:pPr>
        <w:tabs>
          <w:tab w:val="left" w:pos="226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15.20</w:t>
      </w:r>
      <w:r>
        <w:rPr>
          <w:rFonts w:ascii="Arial" w:hAnsi="Arial" w:cs="Arial"/>
        </w:rPr>
        <w:tab/>
        <w:t>One-on-One Surgery (Optional)</w:t>
      </w:r>
    </w:p>
    <w:p w:rsidR="00E50085" w:rsidRDefault="00E50085" w:rsidP="005A4B10">
      <w:pPr>
        <w:rPr>
          <w:i/>
        </w:rPr>
      </w:pPr>
    </w:p>
    <w:p w:rsidR="004C7526" w:rsidRDefault="004467F8"/>
    <w:sectPr w:rsidR="004C7526" w:rsidSect="0056303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F8" w:rsidRDefault="004467F8" w:rsidP="005A4B10">
      <w:pPr>
        <w:spacing w:after="0" w:line="240" w:lineRule="auto"/>
      </w:pPr>
      <w:r>
        <w:separator/>
      </w:r>
    </w:p>
  </w:endnote>
  <w:endnote w:type="continuationSeparator" w:id="0">
    <w:p w:rsidR="004467F8" w:rsidRDefault="004467F8" w:rsidP="005A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F8" w:rsidRDefault="004467F8" w:rsidP="005A4B10">
      <w:pPr>
        <w:spacing w:after="0" w:line="240" w:lineRule="auto"/>
      </w:pPr>
      <w:r>
        <w:separator/>
      </w:r>
    </w:p>
  </w:footnote>
  <w:footnote w:type="continuationSeparator" w:id="0">
    <w:p w:rsidR="004467F8" w:rsidRDefault="004467F8" w:rsidP="005A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10" w:rsidRDefault="005A4B10" w:rsidP="005A4B10">
    <w:pPr>
      <w:pStyle w:val="Header"/>
      <w:jc w:val="right"/>
    </w:pPr>
    <w:r w:rsidRPr="00F26060">
      <w:rPr>
        <w:i/>
        <w:noProof/>
        <w:lang w:eastAsia="en-GB"/>
      </w:rPr>
      <w:drawing>
        <wp:inline distT="0" distB="0" distL="0" distR="0">
          <wp:extent cx="1860606" cy="723569"/>
          <wp:effectExtent l="0" t="0" r="6350" b="635"/>
          <wp:docPr id="1" name="Picture 1" descr="C:\Users\karen.rogers.ISIC\Documents\Logos\Satellite Applications Catapult\Logo\Satellite Applications\PNG\Catapult logo Lge.Satellite Applications1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en.rogers.ISIC\Documents\Logos\Satellite Applications Catapult\Logo\Satellite Applications\PNG\Catapult logo Lge.Satellite Applications10PNG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114" r="7904"/>
                  <a:stretch/>
                </pic:blipFill>
                <pic:spPr bwMode="auto">
                  <a:xfrm>
                    <a:off x="0" y="0"/>
                    <a:ext cx="1867986" cy="7264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5A4B10" w:rsidRDefault="005A4B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11259"/>
    <w:multiLevelType w:val="hybridMultilevel"/>
    <w:tmpl w:val="4C88966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085"/>
    <w:rsid w:val="000E42E9"/>
    <w:rsid w:val="00262DB7"/>
    <w:rsid w:val="00377783"/>
    <w:rsid w:val="004467F8"/>
    <w:rsid w:val="00473349"/>
    <w:rsid w:val="004C2F8B"/>
    <w:rsid w:val="0050350E"/>
    <w:rsid w:val="00563036"/>
    <w:rsid w:val="005A4B10"/>
    <w:rsid w:val="006C74DF"/>
    <w:rsid w:val="006D18A5"/>
    <w:rsid w:val="00727C5C"/>
    <w:rsid w:val="00752991"/>
    <w:rsid w:val="00765DF2"/>
    <w:rsid w:val="00796B5C"/>
    <w:rsid w:val="008A53F7"/>
    <w:rsid w:val="008D15C1"/>
    <w:rsid w:val="00957EC6"/>
    <w:rsid w:val="009C3348"/>
    <w:rsid w:val="00AE59ED"/>
    <w:rsid w:val="00B24A18"/>
    <w:rsid w:val="00B95991"/>
    <w:rsid w:val="00B95E21"/>
    <w:rsid w:val="00C73668"/>
    <w:rsid w:val="00CA586E"/>
    <w:rsid w:val="00CC6F69"/>
    <w:rsid w:val="00E50085"/>
    <w:rsid w:val="00E53CA6"/>
    <w:rsid w:val="00ED3CF2"/>
    <w:rsid w:val="00FD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9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A4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50E"/>
    <w:pPr>
      <w:ind w:left="720"/>
      <w:contextualSpacing/>
    </w:pPr>
    <w:rPr>
      <w:rFonts w:asciiTheme="minorHAnsi" w:eastAsiaTheme="minorHAnsi" w:hAnsiTheme="minorHAnsi"/>
      <w:kern w:val="22"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0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9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4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1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A4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nect.innovateuk.org/web/space/satellite-applications-catap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Rogers</dc:creator>
  <cp:lastModifiedBy>Alistair Maclenan</cp:lastModifiedBy>
  <cp:revision>2</cp:revision>
  <dcterms:created xsi:type="dcterms:W3CDTF">2012-06-18T14:56:00Z</dcterms:created>
  <dcterms:modified xsi:type="dcterms:W3CDTF">2012-06-18T14:56:00Z</dcterms:modified>
</cp:coreProperties>
</file>